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3BA" w:rsidRDefault="002033BA" w:rsidP="002033BA">
      <w:pPr>
        <w:pStyle w:val="Standard"/>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margin">
              <wp:align>right</wp:align>
            </wp:positionH>
            <wp:positionV relativeFrom="paragraph">
              <wp:posOffset>-243840</wp:posOffset>
            </wp:positionV>
            <wp:extent cx="571500" cy="538480"/>
            <wp:effectExtent l="0" t="0" r="0" b="0"/>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33BA" w:rsidRPr="002033BA" w:rsidRDefault="00DD0B3F" w:rsidP="002033BA">
      <w:pPr>
        <w:pStyle w:val="Standard"/>
        <w:rPr>
          <w:rFonts w:ascii="Times New Roman" w:hAnsi="Times New Roman" w:cs="Times New Roman"/>
        </w:rPr>
      </w:pPr>
      <w:r>
        <w:rPr>
          <w:rFonts w:ascii="Times New Roman" w:hAnsi="Times New Roman" w:cs="Times New Roman"/>
        </w:rPr>
        <w:t>27.1.</w:t>
      </w:r>
      <w:r w:rsidR="002033BA" w:rsidRPr="002033BA">
        <w:rPr>
          <w:rFonts w:ascii="Times New Roman" w:hAnsi="Times New Roman" w:cs="Times New Roman"/>
        </w:rPr>
        <w:t xml:space="preserve"> 20</w:t>
      </w:r>
      <w:r>
        <w:rPr>
          <w:rFonts w:ascii="Times New Roman" w:hAnsi="Times New Roman" w:cs="Times New Roman"/>
        </w:rPr>
        <w:t>20</w:t>
      </w:r>
    </w:p>
    <w:p w:rsidR="00DD0B3F" w:rsidRDefault="00DD0B3F" w:rsidP="002033BA">
      <w:pPr>
        <w:pStyle w:val="Standard"/>
        <w:jc w:val="center"/>
        <w:rPr>
          <w:rFonts w:ascii="Times New Roman" w:hAnsi="Times New Roman" w:cs="Times New Roman"/>
          <w:b/>
          <w:bCs/>
          <w:color w:val="4472C4" w:themeColor="accent1"/>
          <w:sz w:val="32"/>
          <w:szCs w:val="32"/>
        </w:rPr>
      </w:pPr>
    </w:p>
    <w:p w:rsidR="00DD0B3F" w:rsidRDefault="00DD0B3F" w:rsidP="002033BA">
      <w:pPr>
        <w:pStyle w:val="Standard"/>
        <w:jc w:val="center"/>
        <w:rPr>
          <w:rFonts w:ascii="Times New Roman" w:hAnsi="Times New Roman" w:cs="Times New Roman"/>
          <w:b/>
          <w:bCs/>
          <w:color w:val="4472C4" w:themeColor="accent1"/>
          <w:sz w:val="32"/>
          <w:szCs w:val="32"/>
        </w:rPr>
      </w:pPr>
      <w:r>
        <w:rPr>
          <w:rFonts w:ascii="Times New Roman" w:hAnsi="Times New Roman" w:cs="Times New Roman"/>
          <w:b/>
          <w:bCs/>
          <w:color w:val="4472C4" w:themeColor="accent1"/>
          <w:sz w:val="32"/>
          <w:szCs w:val="32"/>
        </w:rPr>
        <w:t>JEŠTĚ DO ZAČÁTKU BŘEZNA ZVEME NA VÝSTAVU</w:t>
      </w:r>
      <w:bookmarkStart w:id="0" w:name="_GoBack"/>
      <w:bookmarkEnd w:id="0"/>
    </w:p>
    <w:p w:rsidR="002033BA" w:rsidRPr="002033BA" w:rsidRDefault="002033BA" w:rsidP="002033BA">
      <w:pPr>
        <w:pStyle w:val="Standard"/>
        <w:jc w:val="center"/>
        <w:rPr>
          <w:rFonts w:ascii="Times New Roman" w:hAnsi="Times New Roman" w:cs="Times New Roman"/>
          <w:b/>
          <w:bCs/>
          <w:color w:val="4472C4" w:themeColor="accent1"/>
          <w:sz w:val="32"/>
          <w:szCs w:val="32"/>
        </w:rPr>
      </w:pPr>
      <w:r w:rsidRPr="002033BA">
        <w:rPr>
          <w:rFonts w:ascii="Times New Roman" w:hAnsi="Times New Roman" w:cs="Times New Roman"/>
          <w:b/>
          <w:bCs/>
          <w:color w:val="4472C4" w:themeColor="accent1"/>
          <w:sz w:val="32"/>
          <w:szCs w:val="32"/>
        </w:rPr>
        <w:t xml:space="preserve">Lucas </w:t>
      </w:r>
      <w:proofErr w:type="spellStart"/>
      <w:r w:rsidRPr="002033BA">
        <w:rPr>
          <w:rFonts w:ascii="Times New Roman" w:hAnsi="Times New Roman" w:cs="Times New Roman"/>
          <w:b/>
          <w:bCs/>
          <w:color w:val="4472C4" w:themeColor="accent1"/>
          <w:sz w:val="32"/>
          <w:szCs w:val="32"/>
        </w:rPr>
        <w:t>Cranach</w:t>
      </w:r>
      <w:proofErr w:type="spellEnd"/>
      <w:r w:rsidRPr="002033BA">
        <w:rPr>
          <w:rFonts w:ascii="Times New Roman" w:hAnsi="Times New Roman" w:cs="Times New Roman"/>
          <w:b/>
          <w:bCs/>
          <w:color w:val="4472C4" w:themeColor="accent1"/>
          <w:sz w:val="32"/>
          <w:szCs w:val="32"/>
        </w:rPr>
        <w:t xml:space="preserve"> a severozápadní Čechy</w:t>
      </w:r>
    </w:p>
    <w:p w:rsidR="002033BA" w:rsidRPr="001038CA" w:rsidRDefault="002033BA" w:rsidP="002033BA">
      <w:pPr>
        <w:pStyle w:val="Standard"/>
        <w:jc w:val="center"/>
        <w:rPr>
          <w:rFonts w:ascii="Times New Roman" w:hAnsi="Times New Roman" w:cs="Times New Roman"/>
          <w:b/>
          <w:bCs/>
        </w:rPr>
      </w:pPr>
      <w:r w:rsidRPr="001038CA">
        <w:rPr>
          <w:rFonts w:ascii="Times New Roman" w:hAnsi="Times New Roman" w:cs="Times New Roman"/>
          <w:b/>
          <w:bCs/>
        </w:rPr>
        <w:t xml:space="preserve">Severočeská galerie výtvarného umění v Litoměřicích – Galerie a muzeum litoměřické diecéze </w:t>
      </w:r>
      <w:r>
        <w:rPr>
          <w:rFonts w:ascii="Times New Roman" w:hAnsi="Times New Roman" w:cs="Times New Roman"/>
          <w:b/>
          <w:bCs/>
        </w:rPr>
        <w:t>(Mírové nám. 24, Litoměřice)</w:t>
      </w:r>
    </w:p>
    <w:p w:rsidR="002033BA" w:rsidRPr="00DA690B" w:rsidRDefault="002033BA" w:rsidP="00DA690B">
      <w:pPr>
        <w:rPr>
          <w:rFonts w:asciiTheme="minorHAnsi" w:hAnsiTheme="minorHAnsi" w:cstheme="minorHAnsi"/>
          <w:bCs/>
          <w:sz w:val="24"/>
          <w:szCs w:val="24"/>
        </w:rPr>
      </w:pPr>
      <w:r w:rsidRPr="00DA690B">
        <w:rPr>
          <w:rFonts w:asciiTheme="minorHAnsi" w:hAnsiTheme="minorHAnsi" w:cstheme="minorHAnsi"/>
          <w:bCs/>
          <w:sz w:val="24"/>
          <w:szCs w:val="24"/>
        </w:rPr>
        <w:t>Termín výstavy: 6. 12. 2019 – 8. 3. 2020</w:t>
      </w:r>
    </w:p>
    <w:p w:rsidR="002033BA" w:rsidRPr="002033BA" w:rsidRDefault="002033BA" w:rsidP="002033BA">
      <w:pPr>
        <w:shd w:val="clear" w:color="auto" w:fill="FFFFFF"/>
        <w:spacing w:after="0" w:line="312" w:lineRule="atLeast"/>
        <w:jc w:val="both"/>
        <w:rPr>
          <w:rFonts w:asciiTheme="minorHAnsi" w:eastAsia="Times New Roman" w:hAnsiTheme="minorHAnsi" w:cstheme="minorHAnsi"/>
          <w:sz w:val="24"/>
          <w:szCs w:val="24"/>
          <w:lang w:eastAsia="cs-CZ"/>
        </w:rPr>
      </w:pPr>
      <w:r w:rsidRPr="002033BA">
        <w:rPr>
          <w:rFonts w:asciiTheme="minorHAnsi" w:eastAsia="Times New Roman" w:hAnsiTheme="minorHAnsi" w:cstheme="minorHAnsi"/>
          <w:sz w:val="24"/>
          <w:szCs w:val="24"/>
          <w:lang w:eastAsia="cs-CZ"/>
        </w:rPr>
        <w:t>Autorky výstavy: Olga Kotková (Národní galerie Praha) Michaela Ottová (SGVU Litoměřice)</w:t>
      </w:r>
    </w:p>
    <w:p w:rsidR="002033BA" w:rsidRPr="002033BA" w:rsidRDefault="002033BA" w:rsidP="002033BA">
      <w:pPr>
        <w:spacing w:after="0" w:line="240" w:lineRule="auto"/>
        <w:rPr>
          <w:rFonts w:asciiTheme="minorHAnsi" w:hAnsiTheme="minorHAnsi" w:cstheme="minorHAnsi"/>
          <w:sz w:val="24"/>
          <w:szCs w:val="24"/>
        </w:rPr>
      </w:pPr>
    </w:p>
    <w:p w:rsidR="002033BA" w:rsidRPr="002033BA" w:rsidRDefault="002033BA" w:rsidP="002033BA">
      <w:pPr>
        <w:spacing w:after="0" w:line="240" w:lineRule="auto"/>
        <w:ind w:firstLine="708"/>
        <w:rPr>
          <w:rFonts w:asciiTheme="minorHAnsi" w:hAnsiTheme="minorHAnsi" w:cstheme="minorHAnsi"/>
          <w:sz w:val="24"/>
          <w:szCs w:val="24"/>
        </w:rPr>
      </w:pPr>
      <w:r w:rsidRPr="002033BA">
        <w:rPr>
          <w:rFonts w:asciiTheme="minorHAnsi" w:hAnsiTheme="minorHAnsi" w:cstheme="minorHAnsi"/>
          <w:sz w:val="24"/>
          <w:szCs w:val="24"/>
        </w:rPr>
        <w:t xml:space="preserve">Lucas </w:t>
      </w:r>
      <w:proofErr w:type="spellStart"/>
      <w:r w:rsidRPr="002033BA">
        <w:rPr>
          <w:rFonts w:asciiTheme="minorHAnsi" w:hAnsiTheme="minorHAnsi" w:cstheme="minorHAnsi"/>
          <w:sz w:val="24"/>
          <w:szCs w:val="24"/>
        </w:rPr>
        <w:t>Cranach</w:t>
      </w:r>
      <w:proofErr w:type="spellEnd"/>
      <w:r w:rsidRPr="002033BA">
        <w:rPr>
          <w:rFonts w:asciiTheme="minorHAnsi" w:hAnsiTheme="minorHAnsi" w:cstheme="minorHAnsi"/>
          <w:sz w:val="24"/>
          <w:szCs w:val="24"/>
        </w:rPr>
        <w:t xml:space="preserve"> se narodil roku 1472 v </w:t>
      </w:r>
      <w:proofErr w:type="spellStart"/>
      <w:r w:rsidRPr="002033BA">
        <w:rPr>
          <w:rFonts w:asciiTheme="minorHAnsi" w:hAnsiTheme="minorHAnsi" w:cstheme="minorHAnsi"/>
          <w:sz w:val="24"/>
          <w:szCs w:val="24"/>
        </w:rPr>
        <w:t>hornofranckém</w:t>
      </w:r>
      <w:proofErr w:type="spellEnd"/>
      <w:r w:rsidRPr="002033BA">
        <w:rPr>
          <w:rFonts w:asciiTheme="minorHAnsi" w:hAnsiTheme="minorHAnsi" w:cstheme="minorHAnsi"/>
          <w:sz w:val="24"/>
          <w:szCs w:val="24"/>
        </w:rPr>
        <w:t xml:space="preserve"> </w:t>
      </w:r>
      <w:proofErr w:type="spellStart"/>
      <w:r w:rsidRPr="002033BA">
        <w:rPr>
          <w:rFonts w:asciiTheme="minorHAnsi" w:hAnsiTheme="minorHAnsi" w:cstheme="minorHAnsi"/>
          <w:sz w:val="24"/>
          <w:szCs w:val="24"/>
        </w:rPr>
        <w:t>Kronachu</w:t>
      </w:r>
      <w:proofErr w:type="spellEnd"/>
      <w:r w:rsidRPr="002033BA">
        <w:rPr>
          <w:rFonts w:asciiTheme="minorHAnsi" w:hAnsiTheme="minorHAnsi" w:cstheme="minorHAnsi"/>
          <w:sz w:val="24"/>
          <w:szCs w:val="24"/>
        </w:rPr>
        <w:t xml:space="preserve">. Pro jeho umělecký rozvoj sehrál důležitou roli inspirativní pobyt ve Vídni (od 1501), sídelním městě císaře Maxmiliána I. Roku 1505 byl povolán do služeb saského kurfiřta Fridricha III. Moudrého, usazeného ve </w:t>
      </w:r>
      <w:proofErr w:type="spellStart"/>
      <w:r w:rsidRPr="002033BA">
        <w:rPr>
          <w:rFonts w:asciiTheme="minorHAnsi" w:hAnsiTheme="minorHAnsi" w:cstheme="minorHAnsi"/>
          <w:sz w:val="24"/>
          <w:szCs w:val="24"/>
        </w:rPr>
        <w:t>Wittenberku</w:t>
      </w:r>
      <w:proofErr w:type="spellEnd"/>
      <w:r w:rsidRPr="002033BA">
        <w:rPr>
          <w:rFonts w:asciiTheme="minorHAnsi" w:hAnsiTheme="minorHAnsi" w:cstheme="minorHAnsi"/>
          <w:sz w:val="24"/>
          <w:szCs w:val="24"/>
        </w:rPr>
        <w:t xml:space="preserve">. Nejprve podepisoval svá díla monogramem LC, následně získal erb okřídleného hada s rubínovým prstenem v tlamě. Město </w:t>
      </w:r>
      <w:proofErr w:type="spellStart"/>
      <w:r w:rsidRPr="002033BA">
        <w:rPr>
          <w:rFonts w:asciiTheme="minorHAnsi" w:hAnsiTheme="minorHAnsi" w:cstheme="minorHAnsi"/>
          <w:sz w:val="24"/>
          <w:szCs w:val="24"/>
        </w:rPr>
        <w:t>Wittenberk</w:t>
      </w:r>
      <w:proofErr w:type="spellEnd"/>
      <w:r w:rsidRPr="002033BA">
        <w:rPr>
          <w:rFonts w:asciiTheme="minorHAnsi" w:hAnsiTheme="minorHAnsi" w:cstheme="minorHAnsi"/>
          <w:sz w:val="24"/>
          <w:szCs w:val="24"/>
        </w:rPr>
        <w:t xml:space="preserve">, kde sídlila </w:t>
      </w:r>
      <w:proofErr w:type="spellStart"/>
      <w:r w:rsidRPr="002033BA">
        <w:rPr>
          <w:rFonts w:asciiTheme="minorHAnsi" w:hAnsiTheme="minorHAnsi" w:cstheme="minorHAnsi"/>
          <w:sz w:val="24"/>
          <w:szCs w:val="24"/>
        </w:rPr>
        <w:t>Cranachova</w:t>
      </w:r>
      <w:proofErr w:type="spellEnd"/>
      <w:r w:rsidRPr="002033BA">
        <w:rPr>
          <w:rFonts w:asciiTheme="minorHAnsi" w:hAnsiTheme="minorHAnsi" w:cstheme="minorHAnsi"/>
          <w:sz w:val="24"/>
          <w:szCs w:val="24"/>
        </w:rPr>
        <w:t xml:space="preserve"> dílna, se postupně stávalo baštou německé reformace, působil zde např. i Martin Luther. Úkolů pro kurfiřta i dalších zakázek přibývalo; k jejich plnění </w:t>
      </w:r>
      <w:proofErr w:type="spellStart"/>
      <w:r w:rsidRPr="002033BA">
        <w:rPr>
          <w:rFonts w:asciiTheme="minorHAnsi" w:hAnsiTheme="minorHAnsi" w:cstheme="minorHAnsi"/>
          <w:sz w:val="24"/>
          <w:szCs w:val="24"/>
        </w:rPr>
        <w:t>Cranachovi</w:t>
      </w:r>
      <w:proofErr w:type="spellEnd"/>
      <w:r w:rsidRPr="002033BA">
        <w:rPr>
          <w:rFonts w:asciiTheme="minorHAnsi" w:hAnsiTheme="minorHAnsi" w:cstheme="minorHAnsi"/>
          <w:sz w:val="24"/>
          <w:szCs w:val="24"/>
        </w:rPr>
        <w:t xml:space="preserve"> od roku 1505 vydatně pomáhala dílna, v níž důležitá úloha připadla </w:t>
      </w:r>
      <w:proofErr w:type="spellStart"/>
      <w:r w:rsidRPr="002033BA">
        <w:rPr>
          <w:rFonts w:asciiTheme="minorHAnsi" w:hAnsiTheme="minorHAnsi" w:cstheme="minorHAnsi"/>
          <w:sz w:val="24"/>
          <w:szCs w:val="24"/>
        </w:rPr>
        <w:t>Cranachovým</w:t>
      </w:r>
      <w:proofErr w:type="spellEnd"/>
      <w:r w:rsidRPr="002033BA">
        <w:rPr>
          <w:rFonts w:asciiTheme="minorHAnsi" w:hAnsiTheme="minorHAnsi" w:cstheme="minorHAnsi"/>
          <w:sz w:val="24"/>
          <w:szCs w:val="24"/>
        </w:rPr>
        <w:t xml:space="preserve"> synům, Hansovi (ca. 1513–1537) a Lucasovi (1515–1586). Po smrti vévody Fridricha zůstal </w:t>
      </w:r>
      <w:proofErr w:type="spellStart"/>
      <w:r w:rsidRPr="002033BA">
        <w:rPr>
          <w:rFonts w:asciiTheme="minorHAnsi" w:hAnsiTheme="minorHAnsi" w:cstheme="minorHAnsi"/>
          <w:sz w:val="24"/>
          <w:szCs w:val="24"/>
        </w:rPr>
        <w:t>Cranach</w:t>
      </w:r>
      <w:proofErr w:type="spellEnd"/>
      <w:r w:rsidRPr="002033BA">
        <w:rPr>
          <w:rFonts w:asciiTheme="minorHAnsi" w:hAnsiTheme="minorHAnsi" w:cstheme="minorHAnsi"/>
          <w:sz w:val="24"/>
          <w:szCs w:val="24"/>
        </w:rPr>
        <w:t xml:space="preserve"> starší ve službách jeho nástupce Jana I. Věrného a Jana Fridricha I. S ním také roku 1552 přesídlil do Výmaru, kde v následujícím roce skonal.</w:t>
      </w:r>
      <w:r>
        <w:rPr>
          <w:rFonts w:asciiTheme="minorHAnsi" w:hAnsiTheme="minorHAnsi" w:cstheme="minorHAnsi"/>
          <w:sz w:val="24"/>
          <w:szCs w:val="24"/>
        </w:rPr>
        <w:t xml:space="preserve"> </w:t>
      </w:r>
      <w:r w:rsidRPr="002033BA">
        <w:rPr>
          <w:rFonts w:asciiTheme="minorHAnsi" w:hAnsiTheme="minorHAnsi" w:cstheme="minorHAnsi"/>
          <w:sz w:val="24"/>
          <w:szCs w:val="24"/>
        </w:rPr>
        <w:t xml:space="preserve">Klenotem sbírek Galerie a muzea Litoměřické diecéze je oboustranná deska se </w:t>
      </w:r>
      <w:r w:rsidRPr="002033BA">
        <w:rPr>
          <w:rFonts w:asciiTheme="minorHAnsi" w:hAnsiTheme="minorHAnsi" w:cstheme="minorHAnsi"/>
          <w:i/>
          <w:sz w:val="24"/>
          <w:szCs w:val="24"/>
        </w:rPr>
        <w:t>sv. Antonínem poustevníkem</w:t>
      </w:r>
      <w:r w:rsidRPr="002033BA">
        <w:rPr>
          <w:rFonts w:asciiTheme="minorHAnsi" w:hAnsiTheme="minorHAnsi" w:cstheme="minorHAnsi"/>
          <w:sz w:val="24"/>
          <w:szCs w:val="24"/>
        </w:rPr>
        <w:t xml:space="preserve"> a </w:t>
      </w:r>
      <w:r w:rsidRPr="002033BA">
        <w:rPr>
          <w:rFonts w:asciiTheme="minorHAnsi" w:hAnsiTheme="minorHAnsi" w:cstheme="minorHAnsi"/>
          <w:i/>
          <w:sz w:val="24"/>
          <w:szCs w:val="24"/>
        </w:rPr>
        <w:t>Bolestným Kristem v hrobě</w:t>
      </w:r>
      <w:r w:rsidRPr="002033BA">
        <w:rPr>
          <w:rFonts w:asciiTheme="minorHAnsi" w:hAnsiTheme="minorHAnsi" w:cstheme="minorHAnsi"/>
          <w:sz w:val="24"/>
          <w:szCs w:val="24"/>
        </w:rPr>
        <w:t xml:space="preserve">, signovaná Lucasem </w:t>
      </w:r>
      <w:proofErr w:type="spellStart"/>
      <w:r w:rsidRPr="002033BA">
        <w:rPr>
          <w:rFonts w:asciiTheme="minorHAnsi" w:hAnsiTheme="minorHAnsi" w:cstheme="minorHAnsi"/>
          <w:sz w:val="24"/>
          <w:szCs w:val="24"/>
        </w:rPr>
        <w:t>Cranachem</w:t>
      </w:r>
      <w:proofErr w:type="spellEnd"/>
      <w:r w:rsidRPr="002033BA">
        <w:rPr>
          <w:rFonts w:asciiTheme="minorHAnsi" w:hAnsiTheme="minorHAnsi" w:cstheme="minorHAnsi"/>
          <w:sz w:val="24"/>
          <w:szCs w:val="24"/>
        </w:rPr>
        <w:t xml:space="preserve"> starším, vytvořená asi mezi léty 1520–1522. Deska byla původně součástí oltářního nástavce kostela řádu antonitů v Sasku. Na konci 16. století ji získal litoměřický probošt Zbyněk Berka z Dubé, nechal na desku doplnit svůj erb a umístil ji v proboštském kostele sv. Štěpána v Litoměřicích. Sv. Antonín je zobrazen v meditativním spojení s Ukřižovaným Kristem, jehož spásonosné utrpení je prezentováno i podobou Krista bolestného na zadní straně. Ze sbírek litoměřických biskupů pochází i </w:t>
      </w:r>
      <w:r w:rsidRPr="002033BA">
        <w:rPr>
          <w:rFonts w:asciiTheme="minorHAnsi" w:hAnsiTheme="minorHAnsi" w:cstheme="minorHAnsi"/>
          <w:i/>
          <w:sz w:val="24"/>
          <w:szCs w:val="24"/>
        </w:rPr>
        <w:t>Madona</w:t>
      </w:r>
      <w:r w:rsidRPr="002033BA">
        <w:rPr>
          <w:rFonts w:asciiTheme="minorHAnsi" w:hAnsiTheme="minorHAnsi" w:cstheme="minorHAnsi"/>
          <w:sz w:val="24"/>
          <w:szCs w:val="24"/>
        </w:rPr>
        <w:t xml:space="preserve"> z okruhu Lucase </w:t>
      </w:r>
      <w:proofErr w:type="spellStart"/>
      <w:r w:rsidRPr="002033BA">
        <w:rPr>
          <w:rFonts w:asciiTheme="minorHAnsi" w:hAnsiTheme="minorHAnsi" w:cstheme="minorHAnsi"/>
          <w:sz w:val="24"/>
          <w:szCs w:val="24"/>
        </w:rPr>
        <w:t>Cranacha</w:t>
      </w:r>
      <w:proofErr w:type="spellEnd"/>
      <w:r w:rsidRPr="002033BA">
        <w:rPr>
          <w:rFonts w:asciiTheme="minorHAnsi" w:hAnsiTheme="minorHAnsi" w:cstheme="minorHAnsi"/>
          <w:sz w:val="24"/>
          <w:szCs w:val="24"/>
        </w:rPr>
        <w:t xml:space="preserve"> mladšího. Tyto dvě desky se staly základem pro komorní výstavu doplněnou o deset dalších příkladů maleb </w:t>
      </w:r>
      <w:proofErr w:type="spellStart"/>
      <w:r w:rsidRPr="002033BA">
        <w:rPr>
          <w:rFonts w:asciiTheme="minorHAnsi" w:hAnsiTheme="minorHAnsi" w:cstheme="minorHAnsi"/>
          <w:sz w:val="24"/>
          <w:szCs w:val="24"/>
        </w:rPr>
        <w:t>Cranachovy</w:t>
      </w:r>
      <w:proofErr w:type="spellEnd"/>
      <w:r w:rsidRPr="002033BA">
        <w:rPr>
          <w:rFonts w:asciiTheme="minorHAnsi" w:hAnsiTheme="minorHAnsi" w:cstheme="minorHAnsi"/>
          <w:sz w:val="24"/>
          <w:szCs w:val="24"/>
        </w:rPr>
        <w:t xml:space="preserve"> dílny a jeho následovníků.</w:t>
      </w:r>
    </w:p>
    <w:p w:rsidR="002033BA" w:rsidRPr="002033BA" w:rsidRDefault="002033BA" w:rsidP="002033BA">
      <w:pPr>
        <w:spacing w:after="0" w:line="240" w:lineRule="auto"/>
        <w:ind w:firstLine="708"/>
        <w:rPr>
          <w:rFonts w:asciiTheme="minorHAnsi" w:hAnsiTheme="minorHAnsi" w:cstheme="minorHAnsi"/>
          <w:sz w:val="24"/>
          <w:szCs w:val="24"/>
        </w:rPr>
      </w:pPr>
      <w:r w:rsidRPr="002033BA">
        <w:rPr>
          <w:rFonts w:asciiTheme="minorHAnsi" w:hAnsiTheme="minorHAnsi" w:cstheme="minorHAnsi"/>
          <w:sz w:val="24"/>
          <w:szCs w:val="24"/>
        </w:rPr>
        <w:t xml:space="preserve">Výstava nabízí divákům i ukázky tvorby nejdůležitějšího následovníka Lucase </w:t>
      </w:r>
      <w:proofErr w:type="spellStart"/>
      <w:r w:rsidRPr="002033BA">
        <w:rPr>
          <w:rFonts w:asciiTheme="minorHAnsi" w:hAnsiTheme="minorHAnsi" w:cstheme="minorHAnsi"/>
          <w:sz w:val="24"/>
          <w:szCs w:val="24"/>
        </w:rPr>
        <w:t>Cranacha</w:t>
      </w:r>
      <w:proofErr w:type="spellEnd"/>
      <w:r w:rsidRPr="002033BA">
        <w:rPr>
          <w:rFonts w:asciiTheme="minorHAnsi" w:hAnsiTheme="minorHAnsi" w:cstheme="minorHAnsi"/>
          <w:sz w:val="24"/>
          <w:szCs w:val="24"/>
        </w:rPr>
        <w:t xml:space="preserve"> staršího, autora signujícího svá díla monogramem IW. Dosud blíže neidentifikovaný Mistr IW působil se svou dílnou v severozápadních Čechách mezi léty 1520–1550, nejspíše v Litoměřicích či v Lounech. Kromě plzeňského </w:t>
      </w:r>
      <w:r w:rsidRPr="002033BA">
        <w:rPr>
          <w:rFonts w:asciiTheme="minorHAnsi" w:hAnsiTheme="minorHAnsi" w:cstheme="minorHAnsi"/>
          <w:i/>
          <w:sz w:val="24"/>
          <w:szCs w:val="24"/>
        </w:rPr>
        <w:t>Epitafu Kašpara Kašpárka a jeho ženy</w:t>
      </w:r>
      <w:r w:rsidRPr="002033BA">
        <w:rPr>
          <w:rFonts w:asciiTheme="minorHAnsi" w:hAnsiTheme="minorHAnsi" w:cstheme="minorHAnsi"/>
          <w:sz w:val="24"/>
          <w:szCs w:val="24"/>
        </w:rPr>
        <w:t xml:space="preserve"> se může výstava pochlubit dosud nepříliš známou deskou </w:t>
      </w:r>
      <w:r w:rsidRPr="002033BA">
        <w:rPr>
          <w:rFonts w:asciiTheme="minorHAnsi" w:hAnsiTheme="minorHAnsi" w:cstheme="minorHAnsi"/>
          <w:i/>
          <w:sz w:val="24"/>
          <w:szCs w:val="24"/>
        </w:rPr>
        <w:t>Sebevražda Lukrécie</w:t>
      </w:r>
      <w:r w:rsidRPr="002033BA">
        <w:rPr>
          <w:rFonts w:asciiTheme="minorHAnsi" w:hAnsiTheme="minorHAnsi" w:cstheme="minorHAnsi"/>
          <w:sz w:val="24"/>
          <w:szCs w:val="24"/>
        </w:rPr>
        <w:t xml:space="preserve">, která tvoří pandán silné starozákonní ženě </w:t>
      </w:r>
      <w:r w:rsidRPr="002033BA">
        <w:rPr>
          <w:rFonts w:asciiTheme="minorHAnsi" w:hAnsiTheme="minorHAnsi" w:cstheme="minorHAnsi"/>
          <w:i/>
          <w:sz w:val="24"/>
          <w:szCs w:val="24"/>
        </w:rPr>
        <w:t xml:space="preserve">Juditě s hlavou </w:t>
      </w:r>
      <w:proofErr w:type="spellStart"/>
      <w:r w:rsidRPr="002033BA">
        <w:rPr>
          <w:rFonts w:asciiTheme="minorHAnsi" w:hAnsiTheme="minorHAnsi" w:cstheme="minorHAnsi"/>
          <w:i/>
          <w:sz w:val="24"/>
          <w:szCs w:val="24"/>
        </w:rPr>
        <w:t>Holofernovou</w:t>
      </w:r>
      <w:proofErr w:type="spellEnd"/>
      <w:r w:rsidRPr="002033BA">
        <w:rPr>
          <w:rFonts w:asciiTheme="minorHAnsi" w:hAnsiTheme="minorHAnsi" w:cstheme="minorHAnsi"/>
          <w:sz w:val="24"/>
          <w:szCs w:val="24"/>
        </w:rPr>
        <w:t xml:space="preserve">. Obě hrdinky personifikovaly ženskou sílu a cudnost a též alegorii vlády spravedlivého řádu. Morálním </w:t>
      </w:r>
      <w:proofErr w:type="spellStart"/>
      <w:r w:rsidRPr="002033BA">
        <w:rPr>
          <w:rFonts w:asciiTheme="minorHAnsi" w:hAnsiTheme="minorHAnsi" w:cstheme="minorHAnsi"/>
          <w:sz w:val="24"/>
          <w:szCs w:val="24"/>
        </w:rPr>
        <w:t>exemplem</w:t>
      </w:r>
      <w:proofErr w:type="spellEnd"/>
      <w:r w:rsidRPr="002033BA">
        <w:rPr>
          <w:rFonts w:asciiTheme="minorHAnsi" w:hAnsiTheme="minorHAnsi" w:cstheme="minorHAnsi"/>
          <w:sz w:val="24"/>
          <w:szCs w:val="24"/>
        </w:rPr>
        <w:t xml:space="preserve"> tehdejší společnosti se stal námět prvního hříchu </w:t>
      </w:r>
      <w:r w:rsidRPr="002033BA">
        <w:rPr>
          <w:rFonts w:asciiTheme="minorHAnsi" w:hAnsiTheme="minorHAnsi" w:cstheme="minorHAnsi"/>
          <w:i/>
          <w:sz w:val="24"/>
          <w:szCs w:val="24"/>
        </w:rPr>
        <w:t>Adama a Evy</w:t>
      </w:r>
      <w:r w:rsidRPr="002033BA">
        <w:rPr>
          <w:rFonts w:asciiTheme="minorHAnsi" w:hAnsiTheme="minorHAnsi" w:cstheme="minorHAnsi"/>
          <w:sz w:val="24"/>
          <w:szCs w:val="24"/>
        </w:rPr>
        <w:t xml:space="preserve">, na výstavě přítomný dílem dalšího </w:t>
      </w:r>
      <w:proofErr w:type="spellStart"/>
      <w:r w:rsidRPr="002033BA">
        <w:rPr>
          <w:rFonts w:asciiTheme="minorHAnsi" w:hAnsiTheme="minorHAnsi" w:cstheme="minorHAnsi"/>
          <w:sz w:val="24"/>
          <w:szCs w:val="24"/>
        </w:rPr>
        <w:t>Cranachova</w:t>
      </w:r>
      <w:proofErr w:type="spellEnd"/>
      <w:r w:rsidRPr="002033BA">
        <w:rPr>
          <w:rFonts w:asciiTheme="minorHAnsi" w:hAnsiTheme="minorHAnsi" w:cstheme="minorHAnsi"/>
          <w:sz w:val="24"/>
          <w:szCs w:val="24"/>
        </w:rPr>
        <w:t xml:space="preserve"> následovníka Adama </w:t>
      </w:r>
      <w:proofErr w:type="spellStart"/>
      <w:r w:rsidRPr="002033BA">
        <w:rPr>
          <w:rFonts w:asciiTheme="minorHAnsi" w:hAnsiTheme="minorHAnsi" w:cstheme="minorHAnsi"/>
          <w:sz w:val="24"/>
          <w:szCs w:val="24"/>
        </w:rPr>
        <w:t>Heuslera</w:t>
      </w:r>
      <w:proofErr w:type="spellEnd"/>
      <w:r w:rsidRPr="002033BA">
        <w:rPr>
          <w:rFonts w:asciiTheme="minorHAnsi" w:hAnsiTheme="minorHAnsi" w:cstheme="minorHAnsi"/>
          <w:sz w:val="24"/>
          <w:szCs w:val="24"/>
        </w:rPr>
        <w:t>.</w:t>
      </w:r>
      <w:r>
        <w:rPr>
          <w:rFonts w:asciiTheme="minorHAnsi" w:hAnsiTheme="minorHAnsi" w:cstheme="minorHAnsi"/>
          <w:sz w:val="24"/>
          <w:szCs w:val="24"/>
        </w:rPr>
        <w:t xml:space="preserve"> </w:t>
      </w:r>
      <w:r w:rsidRPr="002033BA">
        <w:rPr>
          <w:rFonts w:asciiTheme="minorHAnsi" w:hAnsiTheme="minorHAnsi" w:cstheme="minorHAnsi"/>
          <w:sz w:val="24"/>
          <w:szCs w:val="24"/>
        </w:rPr>
        <w:t xml:space="preserve">Lucas </w:t>
      </w:r>
      <w:proofErr w:type="spellStart"/>
      <w:r w:rsidRPr="002033BA">
        <w:rPr>
          <w:rFonts w:asciiTheme="minorHAnsi" w:hAnsiTheme="minorHAnsi" w:cstheme="minorHAnsi"/>
          <w:sz w:val="24"/>
          <w:szCs w:val="24"/>
        </w:rPr>
        <w:t>Cranach</w:t>
      </w:r>
      <w:proofErr w:type="spellEnd"/>
      <w:r w:rsidRPr="002033BA">
        <w:rPr>
          <w:rFonts w:asciiTheme="minorHAnsi" w:hAnsiTheme="minorHAnsi" w:cstheme="minorHAnsi"/>
          <w:sz w:val="24"/>
          <w:szCs w:val="24"/>
        </w:rPr>
        <w:t xml:space="preserve"> starší se svou dílnou v saském </w:t>
      </w:r>
      <w:proofErr w:type="spellStart"/>
      <w:r w:rsidRPr="002033BA">
        <w:rPr>
          <w:rFonts w:asciiTheme="minorHAnsi" w:hAnsiTheme="minorHAnsi" w:cstheme="minorHAnsi"/>
          <w:sz w:val="24"/>
          <w:szCs w:val="24"/>
        </w:rPr>
        <w:t>Wittenberku</w:t>
      </w:r>
      <w:proofErr w:type="spellEnd"/>
      <w:r w:rsidRPr="002033BA">
        <w:rPr>
          <w:rFonts w:asciiTheme="minorHAnsi" w:hAnsiTheme="minorHAnsi" w:cstheme="minorHAnsi"/>
          <w:sz w:val="24"/>
          <w:szCs w:val="24"/>
        </w:rPr>
        <w:t xml:space="preserve"> vytvořil v první polovině 16. století mnohé desítky oltářní nástavců, epitafů i závěsných obrazů. Jeho dílnou prošla celá řada tovaryšů a budoucích samostatných malířů. </w:t>
      </w:r>
      <w:proofErr w:type="spellStart"/>
      <w:r w:rsidRPr="002033BA">
        <w:rPr>
          <w:rFonts w:asciiTheme="minorHAnsi" w:hAnsiTheme="minorHAnsi" w:cstheme="minorHAnsi"/>
          <w:sz w:val="24"/>
          <w:szCs w:val="24"/>
        </w:rPr>
        <w:t>Cranach</w:t>
      </w:r>
      <w:proofErr w:type="spellEnd"/>
      <w:r w:rsidRPr="002033BA">
        <w:rPr>
          <w:rFonts w:asciiTheme="minorHAnsi" w:hAnsiTheme="minorHAnsi" w:cstheme="minorHAnsi"/>
          <w:sz w:val="24"/>
          <w:szCs w:val="24"/>
        </w:rPr>
        <w:t xml:space="preserve"> patřil ve své době k celebritám a jeho tvorba se stala široce uznávanou a módní. To nezpůsobil pouze jeho líbivý výtvarný styl, ale též inovativní a humanisticky laděné zpracování námětů; v tomto ohledu patří litoměřický sv. Antonín poustevník k těm nejlepším obrazům, které </w:t>
      </w:r>
      <w:proofErr w:type="spellStart"/>
      <w:r w:rsidRPr="002033BA">
        <w:rPr>
          <w:rFonts w:asciiTheme="minorHAnsi" w:hAnsiTheme="minorHAnsi" w:cstheme="minorHAnsi"/>
          <w:sz w:val="24"/>
          <w:szCs w:val="24"/>
        </w:rPr>
        <w:t>Cranach</w:t>
      </w:r>
      <w:proofErr w:type="spellEnd"/>
      <w:r w:rsidRPr="002033BA">
        <w:rPr>
          <w:rFonts w:asciiTheme="minorHAnsi" w:hAnsiTheme="minorHAnsi" w:cstheme="minorHAnsi"/>
          <w:sz w:val="24"/>
          <w:szCs w:val="24"/>
        </w:rPr>
        <w:t xml:space="preserve"> namaloval.</w:t>
      </w:r>
    </w:p>
    <w:p w:rsidR="002033BA" w:rsidRPr="002033BA" w:rsidRDefault="002033BA" w:rsidP="002033BA">
      <w:pPr>
        <w:shd w:val="clear" w:color="auto" w:fill="FFFFFF"/>
        <w:spacing w:after="0" w:line="312" w:lineRule="atLeast"/>
        <w:jc w:val="both"/>
        <w:rPr>
          <w:rFonts w:asciiTheme="minorHAnsi" w:eastAsia="Times New Roman" w:hAnsiTheme="minorHAnsi" w:cstheme="minorHAnsi"/>
          <w:sz w:val="24"/>
          <w:szCs w:val="24"/>
          <w:lang w:eastAsia="cs-CZ"/>
        </w:rPr>
      </w:pPr>
      <w:r w:rsidRPr="002033BA">
        <w:rPr>
          <w:rFonts w:asciiTheme="minorHAnsi" w:eastAsia="Times New Roman" w:hAnsiTheme="minorHAnsi" w:cstheme="minorHAnsi"/>
          <w:sz w:val="24"/>
          <w:szCs w:val="24"/>
          <w:lang w:eastAsia="cs-CZ"/>
        </w:rPr>
        <w:t xml:space="preserve"> </w:t>
      </w:r>
    </w:p>
    <w:p w:rsidR="0030656D" w:rsidRDefault="002033BA" w:rsidP="002033BA">
      <w:pPr>
        <w:shd w:val="clear" w:color="auto" w:fill="FFFFFF"/>
        <w:spacing w:after="0" w:line="312" w:lineRule="atLeast"/>
        <w:jc w:val="right"/>
        <w:rPr>
          <w:rFonts w:asciiTheme="minorHAnsi" w:eastAsia="Times New Roman" w:hAnsiTheme="minorHAnsi" w:cstheme="minorHAnsi"/>
          <w:sz w:val="24"/>
          <w:szCs w:val="24"/>
          <w:lang w:eastAsia="cs-CZ"/>
        </w:rPr>
      </w:pPr>
      <w:r w:rsidRPr="002033BA">
        <w:rPr>
          <w:rFonts w:asciiTheme="minorHAnsi" w:eastAsia="Times New Roman" w:hAnsiTheme="minorHAnsi" w:cstheme="minorHAnsi"/>
          <w:sz w:val="24"/>
          <w:szCs w:val="24"/>
          <w:lang w:eastAsia="cs-CZ"/>
        </w:rPr>
        <w:t xml:space="preserve">PhDr. Olga Kotková - PhDr. Michaela Ottová </w:t>
      </w:r>
    </w:p>
    <w:p w:rsidR="002033BA" w:rsidRPr="002033BA" w:rsidRDefault="002033BA" w:rsidP="002033BA">
      <w:pPr>
        <w:shd w:val="clear" w:color="auto" w:fill="FFFFFF"/>
        <w:spacing w:after="0" w:line="312" w:lineRule="atLeast"/>
        <w:rPr>
          <w:rFonts w:asciiTheme="minorHAnsi" w:hAnsiTheme="minorHAnsi" w:cstheme="minorHAnsi"/>
          <w:b/>
          <w:bCs/>
          <w:sz w:val="24"/>
          <w:szCs w:val="24"/>
        </w:rPr>
      </w:pPr>
      <w:r>
        <w:rPr>
          <w:rFonts w:ascii="Times New Roman" w:hAnsi="Times New Roman"/>
          <w:noProof/>
          <w:sz w:val="24"/>
          <w:szCs w:val="24"/>
          <w:lang w:eastAsia="cs-CZ"/>
        </w:rPr>
        <w:drawing>
          <wp:anchor distT="0" distB="0" distL="114300" distR="114300" simplePos="0" relativeHeight="251659264" behindDoc="0" locked="0" layoutInCell="1" allowOverlap="1">
            <wp:simplePos x="0" y="0"/>
            <wp:positionH relativeFrom="column">
              <wp:posOffset>1501140</wp:posOffset>
            </wp:positionH>
            <wp:positionV relativeFrom="paragraph">
              <wp:posOffset>440690</wp:posOffset>
            </wp:positionV>
            <wp:extent cx="954405" cy="516890"/>
            <wp:effectExtent l="0" t="0" r="0" b="0"/>
            <wp:wrapSquare wrapText="bothSides"/>
            <wp:docPr id="4" name="Obrázek 4" descr="C:\Users\Šárka\AppData\Local\Microsoft\Windows\INetCache\Content.MSO\CDFD0D4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Šárka\AppData\Local\Microsoft\Windows\INetCache\Content.MSO\CDFD0D49.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4405" cy="516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4033">
        <w:rPr>
          <w:rFonts w:ascii="Times New Roman" w:hAnsi="Times New Roman"/>
          <w:noProof/>
          <w:sz w:val="24"/>
          <w:szCs w:val="24"/>
          <w:lang w:eastAsia="cs-CZ"/>
        </w:rPr>
        <w:drawing>
          <wp:inline distT="0" distB="0" distL="0" distR="0" wp14:anchorId="19079F3E" wp14:editId="5474C0D9">
            <wp:extent cx="800100" cy="1028700"/>
            <wp:effectExtent l="0" t="0" r="0" b="0"/>
            <wp:docPr id="2" name="Obrázek 2" descr="C:\Users\RKA~1\AppData\Local\Temp\ksohtml\wps1C8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RKA~1\AppData\Local\Temp\ksohtml\wps1C8D.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1028700"/>
                    </a:xfrm>
                    <a:prstGeom prst="rect">
                      <a:avLst/>
                    </a:prstGeom>
                    <a:noFill/>
                    <a:ln>
                      <a:noFill/>
                    </a:ln>
                  </pic:spPr>
                </pic:pic>
              </a:graphicData>
            </a:graphic>
          </wp:inline>
        </w:drawing>
      </w:r>
      <w:r w:rsidRPr="006D4033">
        <w:rPr>
          <w:rFonts w:ascii="Times New Roman" w:hAnsi="Times New Roman"/>
          <w:noProof/>
          <w:sz w:val="24"/>
          <w:szCs w:val="24"/>
          <w:lang w:eastAsia="cs-CZ"/>
        </w:rPr>
        <w:drawing>
          <wp:inline distT="0" distB="0" distL="0" distR="0" wp14:anchorId="6C7A01D8" wp14:editId="1FA59FF3">
            <wp:extent cx="561975" cy="561975"/>
            <wp:effectExtent l="0" t="0" r="0" b="0"/>
            <wp:docPr id="3" name="Obrázek 3" descr="C:\Users\Šárka\AppData\Local\Microsoft\Windows\INetCache\Content.MSO\20E7AE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Šárka\AppData\Local\Microsoft\Windows\INetCache\Content.MSO\20E7AEC0.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sectPr w:rsidR="002033BA" w:rsidRPr="002033BA" w:rsidSect="002033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BA"/>
    <w:rsid w:val="002033BA"/>
    <w:rsid w:val="0030656D"/>
    <w:rsid w:val="00DA690B"/>
    <w:rsid w:val="00DD0B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3EF5"/>
  <w15:chartTrackingRefBased/>
  <w15:docId w15:val="{1B2AA47F-3C51-4632-B31D-07BA4C3D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33BA"/>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2033BA"/>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491</Words>
  <Characters>2900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dc:creator>
  <cp:keywords/>
  <dc:description/>
  <cp:lastModifiedBy>Microsoft Office User</cp:lastModifiedBy>
  <cp:revision>2</cp:revision>
  <dcterms:created xsi:type="dcterms:W3CDTF">2019-12-03T14:06:00Z</dcterms:created>
  <dcterms:modified xsi:type="dcterms:W3CDTF">2020-01-27T16:33:00Z</dcterms:modified>
</cp:coreProperties>
</file>